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09" w:rsidRDefault="00164509" w:rsidP="00164509">
      <w:pPr>
        <w:rPr>
          <w:b/>
        </w:rPr>
      </w:pPr>
      <w:bookmarkStart w:id="0" w:name="_GoBack"/>
      <w:bookmarkEnd w:id="0"/>
      <w:r>
        <w:rPr>
          <w:b/>
        </w:rPr>
        <w:t>Appendix C – Proposed allocation of funds 2018/19</w:t>
      </w:r>
    </w:p>
    <w:tbl>
      <w:tblPr>
        <w:tblW w:w="14606" w:type="dxa"/>
        <w:tblInd w:w="103" w:type="dxa"/>
        <w:tblLook w:val="04A0" w:firstRow="1" w:lastRow="0" w:firstColumn="1" w:lastColumn="0" w:noHBand="0" w:noVBand="1"/>
      </w:tblPr>
      <w:tblGrid>
        <w:gridCol w:w="2752"/>
        <w:gridCol w:w="3005"/>
        <w:gridCol w:w="1440"/>
        <w:gridCol w:w="7409"/>
      </w:tblGrid>
      <w:tr w:rsidR="00164509" w:rsidRPr="00164509" w:rsidTr="00164509">
        <w:trPr>
          <w:trHeight w:val="619"/>
        </w:trPr>
        <w:tc>
          <w:tcPr>
            <w:tcW w:w="27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Service areas</w:t>
            </w:r>
          </w:p>
        </w:tc>
        <w:tc>
          <w:tcPr>
            <w:tcW w:w="3005" w:type="dxa"/>
            <w:tcBorders>
              <w:top w:val="single" w:sz="4" w:space="0" w:color="auto"/>
              <w:left w:val="nil"/>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Provider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Proposed Allocation 2018/19</w:t>
            </w:r>
          </w:p>
        </w:tc>
        <w:tc>
          <w:tcPr>
            <w:tcW w:w="7409" w:type="dxa"/>
            <w:tcBorders>
              <w:top w:val="single" w:sz="4" w:space="0" w:color="auto"/>
              <w:left w:val="nil"/>
              <w:bottom w:val="single" w:sz="4" w:space="0" w:color="auto"/>
              <w:right w:val="single" w:sz="4" w:space="0" w:color="auto"/>
            </w:tcBorders>
            <w:shd w:val="clear" w:color="000000" w:fill="D9D9D9"/>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Purpose</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000000" w:fill="FABF8F"/>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Supported accommodation</w:t>
            </w:r>
          </w:p>
        </w:tc>
        <w:tc>
          <w:tcPr>
            <w:tcW w:w="3005"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£779,425</w:t>
            </w:r>
          </w:p>
        </w:tc>
        <w:tc>
          <w:tcPr>
            <w:tcW w:w="7409" w:type="dxa"/>
            <w:tcBorders>
              <w:top w:val="nil"/>
              <w:left w:val="nil"/>
              <w:bottom w:val="single" w:sz="4" w:space="0" w:color="auto"/>
              <w:right w:val="single" w:sz="4" w:space="0" w:color="auto"/>
            </w:tcBorders>
            <w:shd w:val="clear" w:color="000000" w:fill="FABF8F"/>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76"/>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Contribution Oxfordshire AHP Pooled Budget</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Oxfordshire AHP / Oxfordshire CC commissioner</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£161,700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Provision of supported housing</w:t>
            </w:r>
          </w:p>
        </w:tc>
      </w:tr>
      <w:tr w:rsidR="00164509" w:rsidRPr="00164509" w:rsidTr="00164509">
        <w:trPr>
          <w:trHeight w:val="842"/>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Housing First - Julian Housing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164509" w:rsidRPr="00164509" w:rsidTr="00164509">
        <w:trPr>
          <w:trHeight w:val="699"/>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NSNO Sit-up Service - O'Hanlon House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£54,903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10 additional spaces to help manage the high number of rough sleepers.</w:t>
            </w:r>
          </w:p>
        </w:tc>
      </w:tr>
      <w:tr w:rsidR="00164509" w:rsidRPr="00164509" w:rsidTr="00164509">
        <w:trPr>
          <w:trHeight w:val="319"/>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Acacia existing x 5</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Response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5 additional units of specialist supported housing for people with complex needs. </w:t>
            </w:r>
          </w:p>
        </w:tc>
      </w:tr>
      <w:tr w:rsidR="00164509" w:rsidRPr="00164509" w:rsidTr="00164509">
        <w:trPr>
          <w:trHeight w:val="165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Acacia  additional units - pending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Response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£47,850</w:t>
            </w:r>
          </w:p>
        </w:tc>
        <w:tc>
          <w:tcPr>
            <w:tcW w:w="7409"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5 </w:t>
            </w:r>
            <w:proofErr w:type="gramStart"/>
            <w:r w:rsidRPr="00164509">
              <w:rPr>
                <w:rFonts w:cs="Arial"/>
                <w:color w:val="auto"/>
                <w:sz w:val="20"/>
                <w:szCs w:val="20"/>
              </w:rPr>
              <w:t>specialist</w:t>
            </w:r>
            <w:proofErr w:type="gramEnd"/>
            <w:r w:rsidRPr="00164509">
              <w:rPr>
                <w:rFonts w:cs="Arial"/>
                <w:color w:val="auto"/>
                <w:sz w:val="20"/>
                <w:szCs w:val="20"/>
              </w:rPr>
              <w:t xml:space="preserve"> supported housing units for people with complex needs. 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p>
        </w:tc>
      </w:tr>
      <w:tr w:rsidR="00164509" w:rsidRPr="00164509" w:rsidTr="00164509">
        <w:trPr>
          <w:trHeight w:val="1263"/>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Project 41</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£150,000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164509" w:rsidRPr="00164509" w:rsidTr="00164509">
        <w:trPr>
          <w:trHeight w:val="2118"/>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lastRenderedPageBreak/>
              <w:t>SIMON HOUSE - Transitional service 2018/19 20 to 25 units complex needs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A2Dominion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£200,000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a transitional service of up to 25 units of supported accommodation at Simon House for people with complex needs and a connection to Oxford City. This allocation will retain the facility of Simon House which would otherwise have closed as a result of County Council funding cuts. This provision will maintain capacity in the City allowing time for the development of a new facility for rough sleepers and single homeless people in the Cowley area, to open [subject to planning permission] 2019/20.</w:t>
            </w:r>
          </w:p>
        </w:tc>
      </w:tr>
      <w:tr w:rsidR="00164509" w:rsidRPr="00164509" w:rsidTr="00164509">
        <w:trPr>
          <w:trHeight w:val="1251"/>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Mayday Trust 10 units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Mayday Trust</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£39,272</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10 units of supported accommodation for people with complex needs, in dispersed locations. This allocation will retain these units of supported accommodation for rough sleepers and single homeless people which would otherwise have closed as a result of County Council funding cuts.  </w:t>
            </w:r>
          </w:p>
        </w:tc>
      </w:tr>
      <w:tr w:rsidR="00164509" w:rsidRPr="00164509" w:rsidTr="00164509">
        <w:trPr>
          <w:trHeight w:val="1000"/>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Severe Weather Beds - various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Various including Homeless Oxfordshire, St Mungo's, The Porch, A2Dominion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to provide emergency beds in periods of severe weather for all rough sleepers who need them. The increase in funding reflects the increased number of rough sleepers on the City's streets.</w:t>
            </w:r>
          </w:p>
        </w:tc>
      </w:tr>
      <w:tr w:rsidR="00164509" w:rsidRPr="00164509" w:rsidTr="00164509">
        <w:trPr>
          <w:trHeight w:val="547"/>
        </w:trPr>
        <w:tc>
          <w:tcPr>
            <w:tcW w:w="2752" w:type="dxa"/>
            <w:tcBorders>
              <w:top w:val="nil"/>
              <w:left w:val="single" w:sz="4" w:space="0" w:color="auto"/>
              <w:bottom w:val="single" w:sz="4" w:space="0" w:color="auto"/>
              <w:right w:val="single" w:sz="4" w:space="0" w:color="auto"/>
            </w:tcBorders>
            <w:shd w:val="clear" w:color="000000" w:fill="B1A0C7"/>
            <w:vAlign w:val="center"/>
            <w:hideMark/>
          </w:tcPr>
          <w:p w:rsidR="00164509" w:rsidRPr="00164509" w:rsidRDefault="00164509" w:rsidP="00164509">
            <w:pPr>
              <w:spacing w:after="0"/>
              <w:jc w:val="center"/>
              <w:rPr>
                <w:rFonts w:cs="Arial"/>
                <w:b/>
                <w:bCs/>
                <w:color w:val="FFFFFF"/>
                <w:sz w:val="20"/>
                <w:szCs w:val="20"/>
              </w:rPr>
            </w:pPr>
            <w:r w:rsidRPr="00164509">
              <w:rPr>
                <w:rFonts w:cs="Arial"/>
                <w:b/>
                <w:bCs/>
                <w:color w:val="FFFFFF"/>
                <w:sz w:val="20"/>
                <w:szCs w:val="20"/>
              </w:rPr>
              <w:t>Street Engagement</w:t>
            </w:r>
          </w:p>
        </w:tc>
        <w:tc>
          <w:tcPr>
            <w:tcW w:w="3005"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£398,393</w:t>
            </w:r>
          </w:p>
        </w:tc>
        <w:tc>
          <w:tcPr>
            <w:tcW w:w="7409" w:type="dxa"/>
            <w:tcBorders>
              <w:top w:val="nil"/>
              <w:left w:val="nil"/>
              <w:bottom w:val="single" w:sz="4" w:space="0" w:color="auto"/>
              <w:right w:val="single" w:sz="4" w:space="0" w:color="auto"/>
            </w:tcBorders>
            <w:shd w:val="clear" w:color="000000" w:fill="B1A0C7"/>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170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Street Outreach and Single Homeless Service - St Mungo's Broadway</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St Mungo's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C710AB" w:rsidP="00164509">
            <w:pPr>
              <w:spacing w:after="0"/>
              <w:jc w:val="center"/>
              <w:rPr>
                <w:rFonts w:cs="Arial"/>
                <w:color w:val="auto"/>
                <w:sz w:val="20"/>
                <w:szCs w:val="20"/>
              </w:rPr>
            </w:pPr>
            <w:r w:rsidRPr="008B4C85">
              <w:rPr>
                <w:rFonts w:cs="Arial"/>
                <w:color w:val="auto"/>
                <w:sz w:val="20"/>
                <w:szCs w:val="20"/>
              </w:rPr>
              <w:t>£</w:t>
            </w:r>
            <w:r>
              <w:rPr>
                <w:rFonts w:cs="Arial"/>
                <w:color w:val="auto"/>
                <w:sz w:val="20"/>
                <w:szCs w:val="20"/>
              </w:rPr>
              <w:t>350,893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a team of 9 FTE to deliver </w:t>
            </w:r>
            <w:proofErr w:type="spellStart"/>
            <w:proofErr w:type="gramStart"/>
            <w:r w:rsidRPr="00164509">
              <w:rPr>
                <w:rFonts w:cs="Arial"/>
                <w:color w:val="auto"/>
                <w:sz w:val="20"/>
                <w:szCs w:val="20"/>
              </w:rPr>
              <w:t>a</w:t>
            </w:r>
            <w:proofErr w:type="spellEnd"/>
            <w:proofErr w:type="gramEnd"/>
            <w:r w:rsidRPr="00164509">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p>
        </w:tc>
      </w:tr>
      <w:tr w:rsidR="00164509" w:rsidRPr="00164509" w:rsidTr="00164509">
        <w:trPr>
          <w:trHeight w:val="1214"/>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Rough Sleeping &amp; Street activity service - TVP</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Thames Valley Police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164509" w:rsidRPr="00164509" w:rsidTr="00164509">
        <w:trPr>
          <w:trHeight w:val="360"/>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City Centre Ambassadors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£17,500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164509" w:rsidRPr="00164509" w:rsidTr="00164509">
        <w:trPr>
          <w:trHeight w:val="529"/>
        </w:trPr>
        <w:tc>
          <w:tcPr>
            <w:tcW w:w="2752" w:type="dxa"/>
            <w:tcBorders>
              <w:top w:val="nil"/>
              <w:left w:val="single" w:sz="4" w:space="0" w:color="auto"/>
              <w:bottom w:val="single" w:sz="4" w:space="0" w:color="auto"/>
              <w:right w:val="single" w:sz="4" w:space="0" w:color="auto"/>
            </w:tcBorders>
            <w:shd w:val="clear" w:color="000000" w:fill="8DB4E2"/>
            <w:vAlign w:val="center"/>
            <w:hideMark/>
          </w:tcPr>
          <w:p w:rsidR="00164509" w:rsidRPr="00164509" w:rsidRDefault="00164509" w:rsidP="00164509">
            <w:pPr>
              <w:spacing w:after="0"/>
              <w:jc w:val="center"/>
              <w:rPr>
                <w:rFonts w:cs="Arial"/>
                <w:b/>
                <w:bCs/>
                <w:color w:val="FFFFFF"/>
                <w:sz w:val="20"/>
                <w:szCs w:val="20"/>
              </w:rPr>
            </w:pPr>
            <w:r w:rsidRPr="00164509">
              <w:rPr>
                <w:rFonts w:cs="Arial"/>
                <w:b/>
                <w:bCs/>
                <w:color w:val="FFFFFF"/>
                <w:sz w:val="20"/>
                <w:szCs w:val="20"/>
              </w:rPr>
              <w:lastRenderedPageBreak/>
              <w:t>Preventing homelessness</w:t>
            </w:r>
          </w:p>
        </w:tc>
        <w:tc>
          <w:tcPr>
            <w:tcW w:w="3005"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£163,630</w:t>
            </w:r>
          </w:p>
        </w:tc>
        <w:tc>
          <w:tcPr>
            <w:tcW w:w="7409" w:type="dxa"/>
            <w:tcBorders>
              <w:top w:val="nil"/>
              <w:left w:val="nil"/>
              <w:bottom w:val="single" w:sz="4" w:space="0" w:color="auto"/>
              <w:right w:val="single" w:sz="4" w:space="0" w:color="auto"/>
            </w:tcBorders>
            <w:shd w:val="clear" w:color="000000" w:fill="8DB4E2"/>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92"/>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Tenancy Sustainment Officer - Elmore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Elmore Community Services</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£35,630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1 FTE specialist sustainment officer to support residents in Oxford City Council accommodation to maintain their tenancies. </w:t>
            </w:r>
          </w:p>
        </w:tc>
      </w:tr>
      <w:tr w:rsidR="00164509" w:rsidRPr="00164509" w:rsidTr="00164509">
        <w:trPr>
          <w:trHeight w:val="56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Pre-tenancy training course - Connection</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Connection Support</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£16,000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to provide courses to help 50 people develop a range of skills that will enable them to become tenancy ready.</w:t>
            </w:r>
          </w:p>
        </w:tc>
      </w:tr>
      <w:tr w:rsidR="00164509" w:rsidRPr="00164509" w:rsidTr="00164509">
        <w:trPr>
          <w:trHeight w:val="711"/>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Welfare Reform Outreach Team</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£82,000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contribution towards the work of a team focussing on the impact of welfare reform across the City</w:t>
            </w:r>
          </w:p>
        </w:tc>
      </w:tr>
      <w:tr w:rsidR="00164509" w:rsidRPr="00164509" w:rsidTr="00164509">
        <w:trPr>
          <w:trHeight w:val="647"/>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Target Hardening/Sanctuary Scheme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£30,000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provided for a post in the Anti-Social Behaviour Team to support victims of domestic abuse and enable them to stay in their own homes. </w:t>
            </w:r>
          </w:p>
        </w:tc>
      </w:tr>
      <w:tr w:rsidR="00164509" w:rsidRPr="00164509" w:rsidTr="00164509">
        <w:trPr>
          <w:trHeight w:val="730"/>
        </w:trPr>
        <w:tc>
          <w:tcPr>
            <w:tcW w:w="2752" w:type="dxa"/>
            <w:tcBorders>
              <w:top w:val="nil"/>
              <w:left w:val="single" w:sz="4" w:space="0" w:color="auto"/>
              <w:bottom w:val="single" w:sz="4" w:space="0" w:color="auto"/>
              <w:right w:val="single" w:sz="4" w:space="0" w:color="auto"/>
            </w:tcBorders>
            <w:shd w:val="clear" w:color="000000" w:fill="B7DEE8"/>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xml:space="preserve">Positive activities &amp; </w:t>
            </w:r>
            <w:r>
              <w:rPr>
                <w:rFonts w:cs="Arial"/>
                <w:b/>
                <w:bCs/>
                <w:color w:val="auto"/>
                <w:sz w:val="20"/>
                <w:szCs w:val="20"/>
              </w:rPr>
              <w:t>help to get into work</w:t>
            </w:r>
          </w:p>
        </w:tc>
        <w:tc>
          <w:tcPr>
            <w:tcW w:w="3005"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£243,481</w:t>
            </w:r>
          </w:p>
        </w:tc>
        <w:tc>
          <w:tcPr>
            <w:tcW w:w="7409" w:type="dxa"/>
            <w:tcBorders>
              <w:top w:val="nil"/>
              <w:left w:val="nil"/>
              <w:bottom w:val="single" w:sz="4" w:space="0" w:color="auto"/>
              <w:right w:val="single" w:sz="4" w:space="0" w:color="auto"/>
            </w:tcBorders>
            <w:shd w:val="clear" w:color="000000" w:fill="B7DEE8"/>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112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O'Hanlon House Day Centre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Homeless Oxfordshire</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£82,778</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164509" w:rsidRPr="00164509" w:rsidTr="00164509">
        <w:trPr>
          <w:trHeight w:val="700"/>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Gatehouse Café</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Gatehouse</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£5,580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Core funding for the Gatehouse café, to support and engage hard to reach clients to access accommodation and specialist support </w:t>
            </w:r>
          </w:p>
        </w:tc>
      </w:tr>
      <w:tr w:rsidR="00164509" w:rsidRPr="00164509" w:rsidTr="00164509">
        <w:trPr>
          <w:trHeight w:val="1136"/>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Porch Day Centre</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Porch</w:t>
            </w:r>
          </w:p>
        </w:tc>
        <w:tc>
          <w:tcPr>
            <w:tcW w:w="1440" w:type="dxa"/>
            <w:tcBorders>
              <w:top w:val="nil"/>
              <w:left w:val="nil"/>
              <w:bottom w:val="single" w:sz="4" w:space="0" w:color="auto"/>
              <w:right w:val="single" w:sz="4" w:space="0" w:color="auto"/>
            </w:tcBorders>
            <w:shd w:val="clear" w:color="auto" w:fill="auto"/>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£55,000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Core funding for The Porch (formerly known as </w:t>
            </w:r>
            <w:proofErr w:type="spellStart"/>
            <w:r w:rsidRPr="00164509">
              <w:rPr>
                <w:rFonts w:cs="Arial"/>
                <w:color w:val="auto"/>
                <w:sz w:val="20"/>
                <w:szCs w:val="20"/>
              </w:rPr>
              <w:t>Steppin</w:t>
            </w:r>
            <w:proofErr w:type="spellEnd"/>
            <w:r w:rsidRPr="00164509">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Aspire </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Aspire Oxford</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£77,623</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164509" w:rsidRPr="00164509" w:rsidTr="00164509">
        <w:trPr>
          <w:trHeight w:val="1108"/>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Emmaus</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Emmaus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£10,000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Core funding for Emmaus to provide accommodation in their community and work opportunities in their second-hand furniture social enterprise. A clause in the agreement enables the Council to taper the grant as the business moves towards self-sufficiency.</w:t>
            </w:r>
          </w:p>
        </w:tc>
      </w:tr>
      <w:tr w:rsidR="00164509" w:rsidRPr="00164509" w:rsidTr="00164509">
        <w:trPr>
          <w:trHeight w:val="983"/>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lastRenderedPageBreak/>
              <w:t>Service Broker - The Big Issue Foundation</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The Big Issue Foundation</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£12,500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for 1 FTE to support Big Issues sellers into accommodation and into sustainable work opportunities. This contract will continue to be within a payment by results framework.</w:t>
            </w:r>
          </w:p>
        </w:tc>
      </w:tr>
      <w:tr w:rsidR="00164509" w:rsidRPr="00164509" w:rsidTr="00164509">
        <w:trPr>
          <w:trHeight w:val="255"/>
        </w:trPr>
        <w:tc>
          <w:tcPr>
            <w:tcW w:w="2752" w:type="dxa"/>
            <w:tcBorders>
              <w:top w:val="nil"/>
              <w:left w:val="single" w:sz="4" w:space="0" w:color="auto"/>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Priority Services for Young People</w:t>
            </w:r>
          </w:p>
        </w:tc>
        <w:tc>
          <w:tcPr>
            <w:tcW w:w="3005"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£6,134</w:t>
            </w:r>
          </w:p>
        </w:tc>
        <w:tc>
          <w:tcPr>
            <w:tcW w:w="7409" w:type="dxa"/>
            <w:tcBorders>
              <w:top w:val="single" w:sz="4" w:space="0" w:color="auto"/>
              <w:left w:val="nil"/>
              <w:bottom w:val="single" w:sz="4" w:space="0" w:color="auto"/>
              <w:right w:val="nil"/>
            </w:tcBorders>
            <w:shd w:val="clear" w:color="000000" w:fill="FFFF00"/>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663"/>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Emergency Bed for Young Person in Oxford city</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Oxfordshire County Council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£6,134</w:t>
            </w:r>
          </w:p>
        </w:tc>
        <w:tc>
          <w:tcPr>
            <w:tcW w:w="7409"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Funding provides one emergency bed within the Young Person’s pathway for use by Oxford City.</w:t>
            </w:r>
          </w:p>
        </w:tc>
      </w:tr>
      <w:tr w:rsidR="00164509" w:rsidRPr="00164509" w:rsidTr="00164509">
        <w:trPr>
          <w:trHeight w:val="255"/>
        </w:trPr>
        <w:tc>
          <w:tcPr>
            <w:tcW w:w="2752" w:type="dxa"/>
            <w:tcBorders>
              <w:top w:val="nil"/>
              <w:left w:val="single" w:sz="4" w:space="0" w:color="auto"/>
              <w:bottom w:val="nil"/>
              <w:right w:val="single" w:sz="4" w:space="0" w:color="auto"/>
            </w:tcBorders>
            <w:shd w:val="clear" w:color="000000" w:fill="DA9694"/>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Other</w:t>
            </w:r>
          </w:p>
        </w:tc>
        <w:tc>
          <w:tcPr>
            <w:tcW w:w="3005"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c>
          <w:tcPr>
            <w:tcW w:w="1440"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£124,396</w:t>
            </w:r>
          </w:p>
        </w:tc>
        <w:tc>
          <w:tcPr>
            <w:tcW w:w="7409" w:type="dxa"/>
            <w:tcBorders>
              <w:top w:val="nil"/>
              <w:left w:val="nil"/>
              <w:bottom w:val="nil"/>
              <w:right w:val="single" w:sz="4" w:space="0" w:color="auto"/>
            </w:tcBorders>
            <w:shd w:val="clear" w:color="000000" w:fill="DA9694"/>
            <w:noWrap/>
            <w:vAlign w:val="center"/>
            <w:hideMark/>
          </w:tcPr>
          <w:p w:rsidR="00164509" w:rsidRPr="00164509" w:rsidRDefault="00164509" w:rsidP="00164509">
            <w:pPr>
              <w:spacing w:after="0"/>
              <w:jc w:val="center"/>
              <w:rPr>
                <w:rFonts w:cs="Arial"/>
                <w:b/>
                <w:bCs/>
                <w:color w:val="auto"/>
                <w:sz w:val="20"/>
                <w:szCs w:val="20"/>
              </w:rPr>
            </w:pPr>
            <w:r w:rsidRPr="00164509">
              <w:rPr>
                <w:rFonts w:cs="Arial"/>
                <w:b/>
                <w:bCs/>
                <w:color w:val="auto"/>
                <w:sz w:val="20"/>
                <w:szCs w:val="20"/>
              </w:rPr>
              <w:t> </w:t>
            </w:r>
          </w:p>
        </w:tc>
      </w:tr>
      <w:tr w:rsidR="00164509" w:rsidRPr="00164509" w:rsidTr="00164509">
        <w:trPr>
          <w:trHeight w:val="255"/>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Single Homelessness Team (current arrangements)</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Oxford City Council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£120,000</w:t>
            </w:r>
          </w:p>
        </w:tc>
        <w:tc>
          <w:tcPr>
            <w:tcW w:w="7409" w:type="dxa"/>
            <w:tcBorders>
              <w:top w:val="single" w:sz="4" w:space="0" w:color="auto"/>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contribution towards the Council’s Rough Sleeping and Single Homelessness Team. </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proofErr w:type="spellStart"/>
            <w:r w:rsidRPr="00164509">
              <w:rPr>
                <w:rFonts w:cs="Arial"/>
                <w:color w:val="auto"/>
                <w:sz w:val="20"/>
                <w:szCs w:val="20"/>
              </w:rPr>
              <w:t>OxfordCHAIN</w:t>
            </w:r>
            <w:proofErr w:type="spellEnd"/>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Real Systems</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£4,396</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Core funding to maintain web-based database management system that collates data and provides monitoring reports on rough sleeping.</w:t>
            </w:r>
          </w:p>
        </w:tc>
      </w:tr>
      <w:tr w:rsidR="00164509" w:rsidRPr="00164509" w:rsidTr="00164509">
        <w:trPr>
          <w:trHeight w:val="255"/>
        </w:trPr>
        <w:tc>
          <w:tcPr>
            <w:tcW w:w="2752" w:type="dxa"/>
            <w:tcBorders>
              <w:top w:val="nil"/>
              <w:left w:val="single" w:sz="4" w:space="0" w:color="auto"/>
              <w:bottom w:val="single" w:sz="4" w:space="0" w:color="auto"/>
              <w:right w:val="single" w:sz="4" w:space="0" w:color="auto"/>
            </w:tcBorders>
            <w:shd w:val="clear" w:color="auto" w:fill="auto"/>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In year commissioning</w:t>
            </w:r>
          </w:p>
        </w:tc>
        <w:tc>
          <w:tcPr>
            <w:tcW w:w="3005"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TBC</w:t>
            </w:r>
          </w:p>
        </w:tc>
        <w:tc>
          <w:tcPr>
            <w:tcW w:w="1440"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jc w:val="center"/>
              <w:rPr>
                <w:rFonts w:cs="Arial"/>
                <w:color w:val="auto"/>
                <w:sz w:val="20"/>
                <w:szCs w:val="20"/>
              </w:rPr>
            </w:pPr>
            <w:r w:rsidRPr="00164509">
              <w:rPr>
                <w:rFonts w:cs="Arial"/>
                <w:color w:val="auto"/>
                <w:sz w:val="20"/>
                <w:szCs w:val="20"/>
              </w:rPr>
              <w:t>£0</w:t>
            </w:r>
          </w:p>
        </w:tc>
        <w:tc>
          <w:tcPr>
            <w:tcW w:w="7409" w:type="dxa"/>
            <w:tcBorders>
              <w:top w:val="nil"/>
              <w:left w:val="nil"/>
              <w:bottom w:val="single" w:sz="4" w:space="0" w:color="auto"/>
              <w:right w:val="single" w:sz="4" w:space="0" w:color="auto"/>
            </w:tcBorders>
            <w:shd w:val="clear" w:color="auto" w:fill="auto"/>
            <w:noWrap/>
            <w:vAlign w:val="center"/>
            <w:hideMark/>
          </w:tcPr>
          <w:p w:rsidR="00164509" w:rsidRPr="00164509" w:rsidRDefault="00164509" w:rsidP="00164509">
            <w:pPr>
              <w:spacing w:after="0"/>
              <w:rPr>
                <w:rFonts w:cs="Arial"/>
                <w:color w:val="auto"/>
                <w:sz w:val="20"/>
                <w:szCs w:val="20"/>
              </w:rPr>
            </w:pPr>
            <w:r w:rsidRPr="00164509">
              <w:rPr>
                <w:rFonts w:cs="Arial"/>
                <w:color w:val="auto"/>
                <w:sz w:val="20"/>
                <w:szCs w:val="20"/>
              </w:rPr>
              <w:t xml:space="preserve">Funding has been put aside in order for officers to respond to unmet need by commissioning services addressing emerging service gaps. </w:t>
            </w:r>
          </w:p>
        </w:tc>
      </w:tr>
      <w:tr w:rsidR="004B49FD" w:rsidRPr="00164509" w:rsidTr="00164509">
        <w:trPr>
          <w:trHeight w:val="255"/>
        </w:trPr>
        <w:tc>
          <w:tcPr>
            <w:tcW w:w="275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49FD" w:rsidRPr="008B4C85" w:rsidRDefault="004B49FD" w:rsidP="003B785C">
            <w:pPr>
              <w:spacing w:after="0"/>
              <w:rPr>
                <w:rFonts w:cs="Arial"/>
                <w:b/>
                <w:bCs/>
                <w:color w:val="auto"/>
              </w:rPr>
            </w:pPr>
            <w:r w:rsidRPr="008B4C85">
              <w:rPr>
                <w:rFonts w:cs="Arial"/>
                <w:b/>
                <w:bCs/>
                <w:color w:val="auto"/>
              </w:rPr>
              <w:t>Total allocated/committed</w:t>
            </w:r>
          </w:p>
        </w:tc>
        <w:tc>
          <w:tcPr>
            <w:tcW w:w="3005" w:type="dxa"/>
            <w:tcBorders>
              <w:top w:val="single" w:sz="4" w:space="0" w:color="auto"/>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c>
          <w:tcPr>
            <w:tcW w:w="1440" w:type="dxa"/>
            <w:tcBorders>
              <w:top w:val="nil"/>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1,715,459</w:t>
            </w:r>
          </w:p>
        </w:tc>
        <w:tc>
          <w:tcPr>
            <w:tcW w:w="7409" w:type="dxa"/>
            <w:tcBorders>
              <w:top w:val="single" w:sz="4" w:space="0" w:color="auto"/>
              <w:left w:val="nil"/>
              <w:bottom w:val="single" w:sz="4" w:space="0" w:color="auto"/>
              <w:right w:val="single" w:sz="4" w:space="0" w:color="auto"/>
            </w:tcBorders>
            <w:shd w:val="clear" w:color="000000" w:fill="F2F2F2"/>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r>
      <w:tr w:rsidR="004B49FD" w:rsidRPr="00164509" w:rsidTr="00164509">
        <w:trPr>
          <w:trHeight w:val="360"/>
        </w:trPr>
        <w:tc>
          <w:tcPr>
            <w:tcW w:w="2752" w:type="dxa"/>
            <w:tcBorders>
              <w:top w:val="nil"/>
              <w:left w:val="single" w:sz="4" w:space="0" w:color="auto"/>
              <w:bottom w:val="single" w:sz="4" w:space="0" w:color="auto"/>
              <w:right w:val="single" w:sz="4" w:space="0" w:color="auto"/>
            </w:tcBorders>
            <w:shd w:val="clear" w:color="000000" w:fill="D9D9D9"/>
            <w:noWrap/>
            <w:vAlign w:val="center"/>
            <w:hideMark/>
          </w:tcPr>
          <w:p w:rsidR="004B49FD" w:rsidRPr="008B4C85" w:rsidRDefault="004B49FD" w:rsidP="003B785C">
            <w:pPr>
              <w:spacing w:after="0"/>
              <w:rPr>
                <w:rFonts w:cs="Arial"/>
                <w:b/>
                <w:bCs/>
                <w:color w:val="auto"/>
              </w:rPr>
            </w:pPr>
            <w:r>
              <w:rPr>
                <w:rFonts w:cs="Arial"/>
                <w:b/>
                <w:bCs/>
                <w:color w:val="auto"/>
              </w:rPr>
              <w:t>Re-profiled activity into 2018/19</w:t>
            </w:r>
          </w:p>
        </w:tc>
        <w:tc>
          <w:tcPr>
            <w:tcW w:w="3005" w:type="dxa"/>
            <w:tcBorders>
              <w:top w:val="nil"/>
              <w:left w:val="nil"/>
              <w:bottom w:val="single" w:sz="4" w:space="0" w:color="auto"/>
              <w:right w:val="single" w:sz="4" w:space="0" w:color="auto"/>
            </w:tcBorders>
            <w:shd w:val="clear" w:color="000000" w:fill="D9D9D9"/>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c>
          <w:tcPr>
            <w:tcW w:w="1440" w:type="dxa"/>
            <w:tcBorders>
              <w:top w:val="nil"/>
              <w:left w:val="nil"/>
              <w:bottom w:val="single" w:sz="4" w:space="0" w:color="auto"/>
              <w:right w:val="single" w:sz="4" w:space="0" w:color="auto"/>
            </w:tcBorders>
            <w:shd w:val="clear" w:color="000000" w:fill="D9D9D9"/>
            <w:noWrap/>
            <w:vAlign w:val="center"/>
            <w:hideMark/>
          </w:tcPr>
          <w:p w:rsidR="004B49FD" w:rsidRDefault="004B49FD" w:rsidP="004B49FD">
            <w:pPr>
              <w:jc w:val="center"/>
              <w:rPr>
                <w:rFonts w:cs="Arial"/>
                <w:b/>
                <w:bCs/>
                <w:sz w:val="20"/>
                <w:szCs w:val="20"/>
              </w:rPr>
            </w:pPr>
          </w:p>
          <w:p w:rsidR="004B49FD" w:rsidRDefault="004B49FD" w:rsidP="004B49FD">
            <w:pPr>
              <w:jc w:val="center"/>
              <w:rPr>
                <w:rFonts w:cs="Arial"/>
                <w:b/>
                <w:bCs/>
                <w:sz w:val="20"/>
                <w:szCs w:val="20"/>
              </w:rPr>
            </w:pPr>
            <w:r>
              <w:rPr>
                <w:rFonts w:cs="Arial"/>
                <w:b/>
                <w:bCs/>
                <w:sz w:val="20"/>
                <w:szCs w:val="20"/>
              </w:rPr>
              <w:t>£119,394</w:t>
            </w:r>
          </w:p>
          <w:p w:rsidR="004B49FD" w:rsidRPr="00164509" w:rsidRDefault="004B49FD" w:rsidP="00164509">
            <w:pPr>
              <w:spacing w:after="0"/>
              <w:jc w:val="center"/>
              <w:rPr>
                <w:rFonts w:cs="Arial"/>
                <w:b/>
                <w:bCs/>
                <w:color w:val="auto"/>
              </w:rPr>
            </w:pPr>
          </w:p>
        </w:tc>
        <w:tc>
          <w:tcPr>
            <w:tcW w:w="7409" w:type="dxa"/>
            <w:tcBorders>
              <w:top w:val="nil"/>
              <w:left w:val="nil"/>
              <w:bottom w:val="single" w:sz="4" w:space="0" w:color="auto"/>
              <w:right w:val="single" w:sz="4" w:space="0" w:color="auto"/>
            </w:tcBorders>
            <w:shd w:val="clear" w:color="000000" w:fill="D9D9D9"/>
            <w:noWrap/>
            <w:vAlign w:val="center"/>
            <w:hideMark/>
          </w:tcPr>
          <w:p w:rsidR="004B49FD" w:rsidRPr="00164509" w:rsidRDefault="004B49FD" w:rsidP="00164509">
            <w:pPr>
              <w:spacing w:after="0"/>
              <w:jc w:val="center"/>
              <w:rPr>
                <w:rFonts w:cs="Arial"/>
                <w:b/>
                <w:bCs/>
                <w:color w:val="auto"/>
              </w:rPr>
            </w:pPr>
            <w:r w:rsidRPr="00164509">
              <w:rPr>
                <w:rFonts w:cs="Arial"/>
                <w:b/>
                <w:bCs/>
                <w:color w:val="auto"/>
              </w:rPr>
              <w:t> </w:t>
            </w:r>
          </w:p>
        </w:tc>
      </w:tr>
      <w:tr w:rsidR="00164509" w:rsidRPr="00164509" w:rsidTr="00164509">
        <w:trPr>
          <w:trHeight w:val="255"/>
        </w:trPr>
        <w:tc>
          <w:tcPr>
            <w:tcW w:w="2752"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3005"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1440"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c>
          <w:tcPr>
            <w:tcW w:w="7409" w:type="dxa"/>
            <w:tcBorders>
              <w:top w:val="nil"/>
              <w:left w:val="nil"/>
              <w:bottom w:val="nil"/>
              <w:right w:val="nil"/>
            </w:tcBorders>
            <w:shd w:val="clear" w:color="auto" w:fill="auto"/>
            <w:noWrap/>
            <w:vAlign w:val="bottom"/>
            <w:hideMark/>
          </w:tcPr>
          <w:p w:rsidR="00164509" w:rsidRPr="00164509" w:rsidRDefault="00164509" w:rsidP="00164509">
            <w:pPr>
              <w:spacing w:after="0"/>
              <w:rPr>
                <w:rFonts w:cs="Arial"/>
                <w:color w:val="DD0806"/>
                <w:sz w:val="18"/>
                <w:szCs w:val="18"/>
              </w:rPr>
            </w:pPr>
          </w:p>
        </w:tc>
      </w:tr>
    </w:tbl>
    <w:p w:rsidR="004456DD" w:rsidRPr="009E51FC" w:rsidRDefault="004456DD" w:rsidP="0093067A"/>
    <w:sectPr w:rsidR="004456DD" w:rsidRPr="009E51FC" w:rsidSect="008B4C85">
      <w:headerReference w:type="even" r:id="rId9"/>
      <w:headerReference w:type="default" r:id="rId10"/>
      <w:footerReference w:type="even" r:id="rId11"/>
      <w:headerReference w:type="first" r:id="rId12"/>
      <w:footerReference w:type="first" r:id="rId13"/>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9"/>
  </w:num>
  <w:num w:numId="7">
    <w:abstractNumId w:val="7"/>
  </w:num>
  <w:num w:numId="8">
    <w:abstractNumId w:val="14"/>
  </w:num>
  <w:num w:numId="9">
    <w:abstractNumId w:val="14"/>
  </w:num>
  <w:num w:numId="10">
    <w:abstractNumId w:val="5"/>
  </w:num>
  <w:num w:numId="11">
    <w:abstractNumId w:val="10"/>
  </w:num>
  <w:num w:numId="12">
    <w:abstractNumId w:val="12"/>
  </w:num>
  <w:num w:numId="13">
    <w:abstractNumId w:val="14"/>
  </w:num>
  <w:num w:numId="14">
    <w:abstractNumId w:val="13"/>
  </w:num>
  <w:num w:numId="15">
    <w:abstractNumId w:val="14"/>
  </w:num>
  <w:num w:numId="16">
    <w:abstractNumId w:val="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6"/>
  </w:num>
  <w:num w:numId="24">
    <w:abstractNumId w:val="14"/>
  </w:num>
  <w:num w:numId="25">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7981"/>
    <w:rsid w:val="002C64F7"/>
    <w:rsid w:val="002E12C1"/>
    <w:rsid w:val="002E19BC"/>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61D3E"/>
    <w:rsid w:val="00667A30"/>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803F07"/>
    <w:rsid w:val="0080749A"/>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573F"/>
    <w:rsid w:val="009034EC"/>
    <w:rsid w:val="009128E0"/>
    <w:rsid w:val="0093067A"/>
    <w:rsid w:val="00941C60"/>
    <w:rsid w:val="00941CD8"/>
    <w:rsid w:val="00966D42"/>
    <w:rsid w:val="00971689"/>
    <w:rsid w:val="00973E90"/>
    <w:rsid w:val="00975B07"/>
    <w:rsid w:val="00980B4A"/>
    <w:rsid w:val="00990DF3"/>
    <w:rsid w:val="009B168F"/>
    <w:rsid w:val="009B326E"/>
    <w:rsid w:val="009B4537"/>
    <w:rsid w:val="009E33A7"/>
    <w:rsid w:val="009E3D0A"/>
    <w:rsid w:val="009E51FC"/>
    <w:rsid w:val="009E631A"/>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337B"/>
    <w:rsid w:val="00B4230A"/>
    <w:rsid w:val="00B500CA"/>
    <w:rsid w:val="00B72910"/>
    <w:rsid w:val="00B86314"/>
    <w:rsid w:val="00B91B3D"/>
    <w:rsid w:val="00BA1C2E"/>
    <w:rsid w:val="00BA4073"/>
    <w:rsid w:val="00BC200B"/>
    <w:rsid w:val="00BC4756"/>
    <w:rsid w:val="00BC69A4"/>
    <w:rsid w:val="00BD5AEC"/>
    <w:rsid w:val="00BE0680"/>
    <w:rsid w:val="00BE305F"/>
    <w:rsid w:val="00BE7BA3"/>
    <w:rsid w:val="00BF5682"/>
    <w:rsid w:val="00BF7B09"/>
    <w:rsid w:val="00C103B5"/>
    <w:rsid w:val="00C11C17"/>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124B3"/>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DE97-1773-4ECE-AB84-A1344D41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30E0784B</Template>
  <TotalTime>1</TotalTime>
  <Pages>4</Pages>
  <Words>1093</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4</cp:revision>
  <cp:lastPrinted>2018-02-02T14:30:00Z</cp:lastPrinted>
  <dcterms:created xsi:type="dcterms:W3CDTF">2018-02-05T14:42:00Z</dcterms:created>
  <dcterms:modified xsi:type="dcterms:W3CDTF">2018-02-19T12:31:00Z</dcterms:modified>
</cp:coreProperties>
</file>